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предложений организаций и граждан</w:t>
      </w:r>
      <w:r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bottom w:val="single" w:color="000000" w:sz="12" w:space="1"/>
              </w:pBdr>
            </w:pPr>
            <w:r>
              <w:rPr>
                <w:sz w:val="24"/>
                <w:szCs w:val="24"/>
              </w:rPr>
              <w:t xml:space="preserve">Министерство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>
              <w:rPr>
                <w:sz w:val="24"/>
                <w:szCs w:val="24"/>
              </w:rPr>
              <w:t xml:space="preserve">Белгородской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b/>
                <w:i/>
                <w:color w:val="000000" w:themeColor="text1"/>
              </w:rPr>
              <w:t xml:space="preserve">(наименование органа исполнительной власти области)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000000" w:sz="12" w:space="1"/>
              </w:pBdr>
            </w:pPr>
            <w:r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предложений организаций и граждан по </w:t>
            </w:r>
            <w:r>
              <w:rPr>
                <w:b/>
                <w:sz w:val="24"/>
                <w:szCs w:val="24"/>
              </w:rPr>
              <w:t xml:space="preserve">проекту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постановления Правительства Белгородской области «</w:t>
            </w:r>
            <w:r>
              <w:rPr>
                <w:sz w:val="24"/>
                <w:szCs w:val="24"/>
              </w:rPr>
              <w:t xml:space="preserve">О внесении изменений в постановление Правительства Белгородской области от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декабря 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3 года № </w:t>
            </w:r>
            <w:r>
              <w:rPr>
                <w:sz w:val="24"/>
                <w:szCs w:val="24"/>
              </w:rPr>
              <w:t xml:space="preserve">733</w:t>
            </w:r>
            <w:r>
              <w:rPr>
                <w:sz w:val="24"/>
                <w:szCs w:val="24"/>
              </w:rPr>
              <w:t xml:space="preserve">-пп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</w:rPr>
              <w:t xml:space="preserve"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органа исполнительной власти области)</w:t>
            </w:r>
            <w:r>
              <w:rPr>
                <w:i/>
                <w:color w:val="000000" w:themeColor="text1"/>
                <w:sz w:val="24"/>
                <w:szCs w:val="24"/>
              </w:rPr>
            </w:r>
            <w:r>
              <w:rPr>
                <w:i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предмет его влияния на конкуренцию</w:t>
            </w:r>
            <w:r>
              <w:rPr>
                <w:i/>
                <w:color w:val="000000" w:themeColor="text1"/>
                <w:sz w:val="24"/>
                <w:szCs w:val="24"/>
              </w:rPr>
            </w:r>
            <w:r>
              <w:rPr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>
              <w:rPr>
                <w:sz w:val="24"/>
                <w:szCs w:val="24"/>
              </w:rPr>
              <w:t xml:space="preserve">нормативн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акта </w:t>
            </w:r>
            <w:r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 xml:space="preserve">его</w:t>
            </w:r>
            <w:r>
              <w:rPr>
                <w:bCs/>
                <w:sz w:val="24"/>
                <w:szCs w:val="24"/>
              </w:rPr>
              <w:t xml:space="preserve">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rStyle w:val="837"/>
                <w:sz w:val="24"/>
                <w:szCs w:val="24"/>
                <w:highlight w:val="none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 xml:space="preserve">и 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308001, г. Белгород, Народный бульвар, д. 34а</w:t>
            </w:r>
            <w:r>
              <w:rPr>
                <w:sz w:val="24"/>
                <w:szCs w:val="24"/>
              </w:rPr>
              <w:t xml:space="preserve">, а также по адресу электронной почты: </w:t>
            </w:r>
            <w:r>
              <w:rPr>
                <w:sz w:val="24"/>
                <w:szCs w:val="24"/>
              </w:rPr>
            </w:r>
            <w:hyperlink r:id="rId9" w:tooltip="http://tishenko-larisa@mail.ru" w:history="1">
              <w:r>
                <w:rPr>
                  <w:rStyle w:val="837"/>
                  <w:sz w:val="24"/>
                  <w:szCs w:val="24"/>
                </w:rPr>
                <w:t xml:space="preserve">tishenko-larisa@mail.ru</w:t>
              </w:r>
              <w:r>
                <w:rPr>
                  <w:rStyle w:val="837"/>
                  <w:sz w:val="24"/>
                  <w:szCs w:val="24"/>
                </w:rPr>
              </w:r>
              <w:r>
                <w:rPr>
                  <w:rStyle w:val="837"/>
                  <w:sz w:val="24"/>
                  <w:szCs w:val="24"/>
                  <w:highlight w:val="none"/>
                </w:rPr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rStyle w:val="837"/>
                <w:sz w:val="24"/>
                <w:szCs w:val="24"/>
                <w:highlight w:val="none"/>
              </w:rPr>
            </w:r>
            <w:r>
              <w:rPr>
                <w:rStyle w:val="837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 </w:t>
            </w:r>
            <w:r>
              <w:rPr>
                <w:sz w:val="24"/>
                <w:szCs w:val="24"/>
              </w:rPr>
              <w:t xml:space="preserve">с 13</w:t>
            </w:r>
            <w:r>
              <w:rPr>
                <w:sz w:val="24"/>
                <w:szCs w:val="24"/>
              </w:rPr>
              <w:t xml:space="preserve"> мая по 26 мая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 xml:space="preserve">проектов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и Правительства Белгородской области, подготовленных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министерством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Белгородской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действующих нормативных правовых актов </w:t>
            </w:r>
            <w:r>
              <w:rPr>
                <w:color w:val="000000" w:themeColor="text1"/>
                <w:sz w:val="24"/>
                <w:szCs w:val="24"/>
              </w:rPr>
              <w:t xml:space="preserve">министерства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>
              <w:rPr>
                <w:color w:val="000000" w:themeColor="text1"/>
                <w:sz w:val="24"/>
                <w:szCs w:val="24"/>
              </w:rPr>
              <w:t xml:space="preserve">Белгородской области </w:t>
            </w:r>
            <w:r>
              <w:rPr>
                <w:color w:val="000000" w:themeColor="text1"/>
                <w:sz w:val="24"/>
                <w:szCs w:val="24"/>
              </w:rPr>
              <w:t xml:space="preserve">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color w:val="000000" w:themeColor="text1"/>
                <w:sz w:val="24"/>
                <w:szCs w:val="24"/>
              </w:rPr>
              <w:t xml:space="preserve">до 25 </w:t>
            </w:r>
            <w:r>
              <w:rPr>
                <w:color w:val="000000" w:themeColor="text1"/>
                <w:sz w:val="24"/>
                <w:szCs w:val="24"/>
              </w:rPr>
              <w:t xml:space="preserve">мая </w:t>
            </w:r>
            <w:r>
              <w:rPr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  <w:t xml:space="preserve"> года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об антимонопольном комплаенсе</w:t>
            </w:r>
            <w:r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>
              <w:rPr>
                <w:sz w:val="24"/>
                <w:szCs w:val="24"/>
              </w:rPr>
              <w:t xml:space="preserve">министерства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>
              <w:rPr>
                <w:sz w:val="24"/>
                <w:szCs w:val="24"/>
              </w:rPr>
              <w:t xml:space="preserve">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комплаенс»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2. </w:t>
            </w:r>
            <w:r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pdf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 Текст действующего нормативного правового акта в </w:t>
            </w:r>
            <w:r>
              <w:rPr>
                <w:sz w:val="24"/>
                <w:szCs w:val="24"/>
              </w:rPr>
              <w:t xml:space="preserve">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«Интернет»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министерства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>
              <w:rPr>
                <w:sz w:val="24"/>
                <w:szCs w:val="24"/>
              </w:rPr>
              <w:t xml:space="preserve">Белгородской области</w:t>
            </w:r>
            <w:r>
              <w:rPr>
                <w:sz w:val="24"/>
                <w:szCs w:val="24"/>
              </w:rPr>
              <w:t xml:space="preserve">, раздел «Антимонопольный комплаенс»: </w:t>
            </w:r>
            <w:hyperlink r:id="rId10" w:tooltip="http://www.belzdrav.ru/o-min/antimonopolnyj-komplaens/publichnye-konsultacii-v-ramkah-analiza-proektov-normativnyh-pravovyh-aktov/" w:history="1">
              <w:r>
                <w:rPr>
                  <w:rStyle w:val="837"/>
                  <w:sz w:val="24"/>
                  <w:szCs w:val="24"/>
                </w:rPr>
                <w:t xml:space="preserve">http://www.belzdrav.ru/o-min/antimonopolnyj-komplaens/publichnye-konsultacii-v-ramkah-analiza-proektov-normativnyh-pravovyh-aktov/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Контактное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i/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i/>
                <w:sz w:val="24"/>
                <w:szCs w:val="24"/>
              </w:rPr>
              <w:t xml:space="preserve">Тищенко Лариса Николаевна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заместитель начальника </w:t>
            </w:r>
            <w:r>
              <w:rPr>
                <w:i/>
                <w:sz w:val="24"/>
                <w:szCs w:val="24"/>
              </w:rPr>
              <w:t xml:space="preserve">отдела </w:t>
            </w:r>
            <w:r>
              <w:rPr>
                <w:i/>
                <w:sz w:val="24"/>
                <w:szCs w:val="24"/>
              </w:rPr>
              <w:t xml:space="preserve">проектно</w:t>
            </w:r>
            <w:r>
              <w:rPr>
                <w:i/>
                <w:sz w:val="24"/>
                <w:szCs w:val="24"/>
              </w:rPr>
              <w:t xml:space="preserve">го управления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департамента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организационно-контрольной</w:t>
            </w:r>
            <w:r>
              <w:rPr>
                <w:i/>
                <w:sz w:val="24"/>
                <w:szCs w:val="24"/>
              </w:rPr>
              <w:t xml:space="preserve">, кадровой</w:t>
            </w:r>
            <w:r>
              <w:rPr>
                <w:i/>
                <w:sz w:val="24"/>
                <w:szCs w:val="24"/>
              </w:rPr>
              <w:t xml:space="preserve"> и правовой работы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министерства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здравоохранения </w:t>
            </w:r>
            <w:r>
              <w:rPr>
                <w:i/>
                <w:sz w:val="24"/>
                <w:szCs w:val="24"/>
              </w:rPr>
              <w:t xml:space="preserve">Белгородской области, </w:t>
            </w:r>
            <w:r>
              <w:rPr>
                <w:i/>
                <w:sz w:val="24"/>
                <w:szCs w:val="24"/>
              </w:rPr>
              <w:t xml:space="preserve">контактный </w:t>
            </w:r>
            <w:r>
              <w:rPr>
                <w:i/>
                <w:sz w:val="24"/>
                <w:szCs w:val="24"/>
              </w:rPr>
              <w:t xml:space="preserve">тел</w:t>
            </w:r>
            <w:r>
              <w:rPr>
                <w:i/>
                <w:sz w:val="24"/>
                <w:szCs w:val="24"/>
              </w:rPr>
              <w:t xml:space="preserve">ефон</w:t>
            </w:r>
            <w:r>
              <w:rPr>
                <w:i/>
                <w:sz w:val="24"/>
                <w:szCs w:val="24"/>
              </w:rPr>
              <w:t xml:space="preserve"> (4722) </w:t>
            </w:r>
            <w:r>
              <w:rPr>
                <w:i/>
                <w:sz w:val="24"/>
                <w:szCs w:val="24"/>
              </w:rPr>
              <w:t xml:space="preserve">32-82-80</w:t>
            </w:r>
            <w:r>
              <w:rPr>
                <w:i/>
                <w:sz w:val="24"/>
                <w:szCs w:val="24"/>
              </w:rPr>
              <w:t xml:space="preserve">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Режим работы: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пятница, </w:t>
            </w:r>
            <w:r>
              <w:rPr>
                <w:sz w:val="24"/>
                <w:szCs w:val="24"/>
              </w:rPr>
              <w:t xml:space="preserve">с 9-00 до 18-00, перерыв с 13-00 до 14-00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table" w:styleId="836">
    <w:name w:val="Table Grid"/>
    <w:basedOn w:val="83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rPr>
      <w:color w:val="0000ff"/>
      <w:u w:val="single"/>
    </w:rPr>
  </w:style>
  <w:style w:type="paragraph" w:styleId="838">
    <w:name w:val="Balloon Text"/>
    <w:basedOn w:val="831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2"/>
    <w:link w:val="838"/>
    <w:uiPriority w:val="99"/>
    <w:semiHidden/>
    <w:rPr>
      <w:rFonts w:ascii="Segoe UI" w:hAnsi="Segoe UI" w:eastAsia="Calibri" w:cs="Segoe UI"/>
      <w:sz w:val="18"/>
      <w:szCs w:val="18"/>
      <w:lang w:eastAsia="ru-RU"/>
    </w:rPr>
  </w:style>
  <w:style w:type="character" w:styleId="840">
    <w:name w:val="Unresolved Mention"/>
    <w:basedOn w:val="832"/>
    <w:uiPriority w:val="99"/>
    <w:semiHidden/>
    <w:unhideWhenUsed/>
    <w:rPr>
      <w:color w:val="605e5c"/>
      <w:shd w:val="clear" w:color="auto" w:fill="e1dfdd"/>
    </w:rPr>
  </w:style>
  <w:style w:type="character" w:styleId="841">
    <w:name w:val="FollowedHyperlink"/>
    <w:basedOn w:val="83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tishenko-larisa@mail.ru" TargetMode="External"/><Relationship Id="rId10" Type="http://schemas.openxmlformats.org/officeDocument/2006/relationships/hyperlink" Target="http://www.belzdrav.ru/o-min/antimonopolnyj-komplaens/publichnye-konsultacii-v-ramkah-analiza-proektov-normativnyh-pravovyh-akto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morozova_mi</cp:lastModifiedBy>
  <cp:revision>22</cp:revision>
  <dcterms:created xsi:type="dcterms:W3CDTF">2022-04-26T06:37:00Z</dcterms:created>
  <dcterms:modified xsi:type="dcterms:W3CDTF">2026-05-12T14:14:27Z</dcterms:modified>
</cp:coreProperties>
</file>